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CCC6" w14:textId="53E28D34" w:rsidR="007F3780" w:rsidRPr="00D7743D" w:rsidRDefault="00A26EAC" w:rsidP="007F3780">
      <w:pPr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BARKOR</w:t>
      </w:r>
      <w:r w:rsidR="007F3780" w:rsidRPr="00D7743D">
        <w:rPr>
          <w:sz w:val="18"/>
          <w:szCs w:val="18"/>
          <w:lang w:val="tr-TR"/>
        </w:rPr>
        <w:t xml:space="preserve"> tarafından sunulan </w:t>
      </w:r>
      <w:r>
        <w:rPr>
          <w:sz w:val="18"/>
          <w:szCs w:val="18"/>
          <w:lang w:val="tr-TR"/>
        </w:rPr>
        <w:t>test</w:t>
      </w:r>
      <w:r w:rsidR="007F3780" w:rsidRPr="00D7743D">
        <w:rPr>
          <w:sz w:val="18"/>
          <w:szCs w:val="18"/>
          <w:lang w:val="tr-TR"/>
        </w:rPr>
        <w:t xml:space="preserve"> faaliyetlerimizden, müşteriler, kamu kurumları, özel kuruluşlar vb. </w:t>
      </w:r>
      <w:proofErr w:type="spellStart"/>
      <w:r>
        <w:rPr>
          <w:sz w:val="18"/>
          <w:szCs w:val="18"/>
          <w:lang w:val="tr-TR"/>
        </w:rPr>
        <w:t>BARKOR</w:t>
      </w:r>
      <w:r w:rsidR="007F3780" w:rsidRPr="00D7743D">
        <w:rPr>
          <w:sz w:val="18"/>
          <w:szCs w:val="18"/>
          <w:lang w:val="tr-TR"/>
        </w:rPr>
        <w:t>’ın</w:t>
      </w:r>
      <w:proofErr w:type="spellEnd"/>
      <w:r w:rsidR="007F3780" w:rsidRPr="00D7743D">
        <w:rPr>
          <w:sz w:val="18"/>
          <w:szCs w:val="18"/>
          <w:lang w:val="tr-TR"/>
        </w:rPr>
        <w:t xml:space="preserve"> itibarını, hizmet kalitesini, tarafsızlığını, faaliyetlerinde görev alan personelinin can ve mal güvenliğini riske sokmadıkları sürece yararlanabilirler.</w:t>
      </w:r>
    </w:p>
    <w:p w14:paraId="439BCE5A" w14:textId="03936045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, gerçekleştirdiği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faaliyetleriyle tüm müşterilerine aynı mesafede duracak, müşteriler arasında herhangi bir ayrım yapmayacaktır.</w:t>
      </w:r>
    </w:p>
    <w:p w14:paraId="4B482770" w14:textId="306832F9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</w:t>
      </w:r>
      <w:r w:rsidR="006D55C8">
        <w:rPr>
          <w:sz w:val="18"/>
          <w:szCs w:val="18"/>
          <w:lang w:val="tr-TR"/>
        </w:rPr>
        <w:t>laboratuvar birimi</w:t>
      </w:r>
      <w:r w:rsidRPr="00D7743D">
        <w:rPr>
          <w:sz w:val="18"/>
          <w:szCs w:val="18"/>
          <w:lang w:val="tr-TR"/>
        </w:rPr>
        <w:t>, faaliyet gösterdiği alanlarla ilgili herhangi bir ürünün, tasarımı, üretimi, ticareti, sunumu veya pazarlamasını gerçekleştirmemektedir.</w:t>
      </w:r>
    </w:p>
    <w:p w14:paraId="2A1DDE3D" w14:textId="7FB09F0E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</w:t>
      </w:r>
      <w:r w:rsidR="006D55C8">
        <w:rPr>
          <w:sz w:val="18"/>
          <w:szCs w:val="18"/>
          <w:lang w:val="tr-TR"/>
        </w:rPr>
        <w:t xml:space="preserve">laboratuvarı </w:t>
      </w:r>
      <w:r w:rsidRPr="00D7743D">
        <w:rPr>
          <w:sz w:val="18"/>
          <w:szCs w:val="18"/>
          <w:lang w:val="tr-TR"/>
        </w:rPr>
        <w:t xml:space="preserve">personeli,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faaliyetlerini gerçekleştireceği ürünlerin tasarımı, üretimi, sunumu veya pazarlamasını gerçekleştiremez. Bu tür faaliyetler içerisinde olduğu takdirde, bu ürün veya hizmetlerle ilgili herhangi bir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faaliyetinde görev alamazlar.</w:t>
      </w:r>
    </w:p>
    <w:p w14:paraId="56E388E0" w14:textId="1D5244C1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adına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faaliyetlerinde görev yapan personelin dış kaynaklı baskılardan (ticari, mali, kişisel) etkilenmemesi için gerekli tüm önlemler alınacak ve herhangi bir şekilde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faaliyetlerinin tarafsızlığına gölge düşürecek bir tutumda bulunmaları engellenecektir.</w:t>
      </w:r>
    </w:p>
    <w:p w14:paraId="7206D47C" w14:textId="0A788BF6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,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faaliyetlerini, hiçbir kişi ya da kurumun etkisinde kalmadan, bağımsız, objektif olarak güvenilir bir şekilde sağlayacaktır.</w:t>
      </w:r>
    </w:p>
    <w:p w14:paraId="0B129475" w14:textId="3271C38E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üst yönetimi 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faaliyetlerinde hiçbir personeline uygunluk değerlendirme sonucuna etki edecek olumlu ya da olumsuz yönde baskı yapmayacaktır.</w:t>
      </w:r>
    </w:p>
    <w:p w14:paraId="62D60646" w14:textId="1F321973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>-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faaliyetlerinde görev alan personelin, müşteriyle daha önceden herhangi bir çıkar ilişkisinin olmadığı garanti altına alınacaktır.</w:t>
      </w:r>
    </w:p>
    <w:p w14:paraId="47BB86FE" w14:textId="255B5261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>-</w:t>
      </w:r>
      <w:r w:rsidR="00A26EAC">
        <w:rPr>
          <w:sz w:val="18"/>
          <w:szCs w:val="18"/>
          <w:lang w:val="tr-TR"/>
        </w:rPr>
        <w:t>Test</w:t>
      </w:r>
      <w:r w:rsidRPr="00D7743D">
        <w:rPr>
          <w:sz w:val="18"/>
          <w:szCs w:val="18"/>
          <w:lang w:val="tr-TR"/>
        </w:rPr>
        <w:t xml:space="preserve"> personeli, müşterilere danışmanlık hizmeti vermeyecek, bu konuda herhangi bir telkinde bulunmayacaktır.</w:t>
      </w:r>
    </w:p>
    <w:p w14:paraId="1CAEF29E" w14:textId="5F309F7C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>, tarafsızlığa dair riskleri sürekli olarak analiz etmekte ve önlemlerini almaktadır.</w:t>
      </w:r>
    </w:p>
    <w:p w14:paraId="7E9E46E6" w14:textId="00D9D606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>-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adına görev yapan personel, görevinin bir parçası olarak, faaliyet sürecinde müşterisi hakkında gördüğü, öğrendiği bilgilerin gizliliğini ve güvenliğini her koşulda koruyacaktır.</w:t>
      </w:r>
    </w:p>
    <w:p w14:paraId="1912EBE7" w14:textId="29AB724B" w:rsidR="007F3780" w:rsidRPr="00D7743D" w:rsidRDefault="007F3780" w:rsidP="007F3780">
      <w:pPr>
        <w:jc w:val="both"/>
        <w:rPr>
          <w:sz w:val="18"/>
          <w:szCs w:val="18"/>
          <w:lang w:val="tr-TR"/>
        </w:rPr>
      </w:pPr>
      <w:r w:rsidRPr="00D7743D">
        <w:rPr>
          <w:sz w:val="18"/>
          <w:szCs w:val="18"/>
          <w:lang w:val="tr-TR"/>
        </w:rPr>
        <w:t xml:space="preserve">- </w:t>
      </w:r>
      <w:r w:rsidR="00A26EAC">
        <w:rPr>
          <w:sz w:val="18"/>
          <w:szCs w:val="18"/>
          <w:lang w:val="tr-TR"/>
        </w:rPr>
        <w:t>BARKOR</w:t>
      </w:r>
      <w:r w:rsidRPr="00D7743D">
        <w:rPr>
          <w:sz w:val="18"/>
          <w:szCs w:val="18"/>
          <w:lang w:val="tr-TR"/>
        </w:rPr>
        <w:t xml:space="preserve"> müşterileri ile ilgili olarak diğer taraflara, yasaların izin verdiği çerçevede, herhangi bir bilgi ve belge aktarımında bulunulmayacaktır.</w:t>
      </w:r>
    </w:p>
    <w:p w14:paraId="05F0CA9F" w14:textId="0B2477A0" w:rsidR="007F3780" w:rsidRPr="00D7743D" w:rsidRDefault="007F3780" w:rsidP="007F3780">
      <w:pPr>
        <w:jc w:val="both"/>
        <w:rPr>
          <w:b/>
          <w:bCs/>
          <w:lang w:val="tr-TR"/>
        </w:rPr>
      </w:pPr>
    </w:p>
    <w:p w14:paraId="1E921D82" w14:textId="6F360A3E" w:rsidR="00A26EAC" w:rsidRDefault="00A26EAC" w:rsidP="007F3780">
      <w:pPr>
        <w:jc w:val="right"/>
        <w:rPr>
          <w:b/>
          <w:bCs/>
          <w:sz w:val="20"/>
          <w:szCs w:val="20"/>
          <w:lang w:val="tr-TR"/>
        </w:rPr>
      </w:pPr>
      <w:r w:rsidRPr="0011717D">
        <w:rPr>
          <w:rFonts w:cstheme="minorHAnsi"/>
          <w:b/>
          <w:color w:val="000000" w:themeColor="text1"/>
          <w:sz w:val="20"/>
          <w:szCs w:val="20"/>
        </w:rPr>
        <w:t>BARKOR MÜHEND</w:t>
      </w:r>
      <w:r>
        <w:rPr>
          <w:rFonts w:cstheme="minorHAnsi"/>
          <w:b/>
          <w:color w:val="000000" w:themeColor="text1"/>
          <w:sz w:val="20"/>
          <w:szCs w:val="20"/>
        </w:rPr>
        <w:t>İ</w:t>
      </w:r>
      <w:r w:rsidRPr="0011717D">
        <w:rPr>
          <w:rFonts w:cstheme="minorHAnsi"/>
          <w:b/>
          <w:color w:val="000000" w:themeColor="text1"/>
          <w:sz w:val="20"/>
          <w:szCs w:val="20"/>
        </w:rPr>
        <w:t>SL</w:t>
      </w:r>
      <w:r>
        <w:rPr>
          <w:rFonts w:cstheme="minorHAnsi"/>
          <w:b/>
          <w:color w:val="000000" w:themeColor="text1"/>
          <w:sz w:val="20"/>
          <w:szCs w:val="20"/>
        </w:rPr>
        <w:t>İ</w:t>
      </w:r>
      <w:r w:rsidRPr="0011717D">
        <w:rPr>
          <w:rFonts w:cstheme="minorHAnsi"/>
          <w:b/>
          <w:color w:val="000000" w:themeColor="text1"/>
          <w:sz w:val="20"/>
          <w:szCs w:val="20"/>
        </w:rPr>
        <w:t xml:space="preserve">K </w:t>
      </w:r>
      <w:r w:rsidR="00EB1912">
        <w:rPr>
          <w:rFonts w:cstheme="minorHAnsi"/>
          <w:b/>
          <w:color w:val="000000" w:themeColor="text1"/>
          <w:sz w:val="20"/>
          <w:szCs w:val="20"/>
        </w:rPr>
        <w:t>SAN.</w:t>
      </w:r>
      <w:r w:rsidRPr="0011717D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EB1912">
        <w:rPr>
          <w:rFonts w:cstheme="minorHAnsi"/>
          <w:b/>
          <w:color w:val="000000" w:themeColor="text1"/>
          <w:sz w:val="20"/>
          <w:szCs w:val="20"/>
        </w:rPr>
        <w:t xml:space="preserve">VE TİC. </w:t>
      </w:r>
      <w:r w:rsidRPr="0011717D">
        <w:rPr>
          <w:rFonts w:cstheme="minorHAnsi"/>
          <w:b/>
          <w:color w:val="000000" w:themeColor="text1"/>
          <w:sz w:val="20"/>
          <w:szCs w:val="20"/>
        </w:rPr>
        <w:t>LTD. ŞT</w:t>
      </w:r>
      <w:r>
        <w:rPr>
          <w:rFonts w:cstheme="minorHAnsi"/>
          <w:b/>
          <w:color w:val="000000" w:themeColor="text1"/>
          <w:sz w:val="20"/>
          <w:szCs w:val="20"/>
        </w:rPr>
        <w:t>İ</w:t>
      </w:r>
    </w:p>
    <w:p w14:paraId="0AA962E9" w14:textId="0AFC5659" w:rsidR="007F3780" w:rsidRPr="00D7743D" w:rsidRDefault="007F3780" w:rsidP="007F3780">
      <w:pPr>
        <w:jc w:val="right"/>
        <w:rPr>
          <w:b/>
          <w:bCs/>
          <w:sz w:val="20"/>
          <w:szCs w:val="20"/>
          <w:lang w:val="tr-TR"/>
        </w:rPr>
      </w:pPr>
      <w:r w:rsidRPr="00D7743D">
        <w:rPr>
          <w:b/>
          <w:bCs/>
          <w:sz w:val="20"/>
          <w:szCs w:val="20"/>
          <w:lang w:val="tr-TR"/>
        </w:rPr>
        <w:t>GENEL MÜDÜR</w:t>
      </w:r>
    </w:p>
    <w:p w14:paraId="277275C6" w14:textId="680DAFD1" w:rsidR="00A26EAC" w:rsidRPr="00A26EAC" w:rsidRDefault="00A26EAC" w:rsidP="007F3780">
      <w:pPr>
        <w:jc w:val="right"/>
        <w:rPr>
          <w:b/>
          <w:bCs/>
          <w:sz w:val="20"/>
          <w:szCs w:val="20"/>
          <w:lang w:val="tr-TR"/>
        </w:rPr>
      </w:pPr>
      <w:r w:rsidRPr="00A26EAC">
        <w:rPr>
          <w:b/>
          <w:bCs/>
          <w:sz w:val="20"/>
          <w:szCs w:val="20"/>
          <w:lang w:val="tr-TR"/>
        </w:rPr>
        <w:t>BARIŞ AKTAŞ</w:t>
      </w:r>
    </w:p>
    <w:p w14:paraId="17D372CF" w14:textId="67FD978C" w:rsidR="007F3780" w:rsidRPr="00D7743D" w:rsidRDefault="007F3780" w:rsidP="007F3780">
      <w:pPr>
        <w:jc w:val="right"/>
        <w:rPr>
          <w:sz w:val="20"/>
          <w:szCs w:val="20"/>
          <w:lang w:val="tr-TR"/>
        </w:rPr>
      </w:pPr>
      <w:r w:rsidRPr="00D7743D">
        <w:rPr>
          <w:sz w:val="20"/>
          <w:szCs w:val="20"/>
          <w:lang w:val="tr-TR"/>
        </w:rPr>
        <w:tab/>
      </w:r>
      <w:r w:rsidRPr="00D7743D">
        <w:rPr>
          <w:sz w:val="20"/>
          <w:szCs w:val="20"/>
          <w:lang w:val="tr-TR"/>
        </w:rPr>
        <w:tab/>
        <w:t>TARİH:</w:t>
      </w:r>
      <w:r w:rsidR="00A26EAC">
        <w:rPr>
          <w:sz w:val="20"/>
          <w:szCs w:val="20"/>
          <w:lang w:val="tr-TR"/>
        </w:rPr>
        <w:t xml:space="preserve"> </w:t>
      </w:r>
      <w:r w:rsidR="00EB1912">
        <w:rPr>
          <w:sz w:val="20"/>
          <w:szCs w:val="20"/>
          <w:lang w:val="tr-TR"/>
        </w:rPr>
        <w:t>26</w:t>
      </w:r>
      <w:r w:rsidR="00A26EAC">
        <w:rPr>
          <w:sz w:val="20"/>
          <w:szCs w:val="20"/>
          <w:lang w:val="tr-TR"/>
        </w:rPr>
        <w:t>.0</w:t>
      </w:r>
      <w:r w:rsidR="00C543FE">
        <w:rPr>
          <w:sz w:val="20"/>
          <w:szCs w:val="20"/>
          <w:lang w:val="tr-TR"/>
        </w:rPr>
        <w:t>5</w:t>
      </w:r>
      <w:r w:rsidR="00A26EAC">
        <w:rPr>
          <w:sz w:val="20"/>
          <w:szCs w:val="20"/>
          <w:lang w:val="tr-TR"/>
        </w:rPr>
        <w:t>.202</w:t>
      </w:r>
      <w:r w:rsidR="00C543FE">
        <w:rPr>
          <w:sz w:val="20"/>
          <w:szCs w:val="20"/>
          <w:lang w:val="tr-TR"/>
        </w:rPr>
        <w:t>5</w:t>
      </w:r>
    </w:p>
    <w:p w14:paraId="25E823EA" w14:textId="2DBBFC9F" w:rsidR="007F3780" w:rsidRPr="00D7743D" w:rsidRDefault="00A26EAC" w:rsidP="007F3780">
      <w:pPr>
        <w:jc w:val="right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</w:p>
    <w:p w14:paraId="1880E3B1" w14:textId="77777777" w:rsidR="00DC3C61" w:rsidRPr="00D7743D" w:rsidRDefault="00DC3C61" w:rsidP="00194B1E">
      <w:pPr>
        <w:rPr>
          <w:lang w:val="tr-TR"/>
        </w:rPr>
      </w:pPr>
    </w:p>
    <w:sectPr w:rsidR="00DC3C61" w:rsidRPr="00D7743D" w:rsidSect="00DC3C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FAC2" w14:textId="77777777" w:rsidR="004A39BF" w:rsidRDefault="004A39BF" w:rsidP="00DC3C61">
      <w:pPr>
        <w:spacing w:after="0" w:line="240" w:lineRule="auto"/>
      </w:pPr>
      <w:r>
        <w:separator/>
      </w:r>
    </w:p>
  </w:endnote>
  <w:endnote w:type="continuationSeparator" w:id="0">
    <w:p w14:paraId="2A5B3C64" w14:textId="77777777" w:rsidR="004A39BF" w:rsidRDefault="004A39BF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5020" w14:textId="77777777" w:rsidR="004A39BF" w:rsidRDefault="004A39BF" w:rsidP="00DC3C61">
      <w:pPr>
        <w:spacing w:after="0" w:line="240" w:lineRule="auto"/>
      </w:pPr>
      <w:r>
        <w:separator/>
      </w:r>
    </w:p>
  </w:footnote>
  <w:footnote w:type="continuationSeparator" w:id="0">
    <w:p w14:paraId="0F8967CB" w14:textId="77777777" w:rsidR="004A39BF" w:rsidRDefault="004A39BF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8" w:type="dxa"/>
      <w:jc w:val="center"/>
      <w:tblLook w:val="04A0" w:firstRow="1" w:lastRow="0" w:firstColumn="1" w:lastColumn="0" w:noHBand="0" w:noVBand="1"/>
    </w:tblPr>
    <w:tblGrid>
      <w:gridCol w:w="2552"/>
      <w:gridCol w:w="5377"/>
      <w:gridCol w:w="1275"/>
      <w:gridCol w:w="1144"/>
    </w:tblGrid>
    <w:tr w:rsidR="00A26EAC" w:rsidRPr="0011717D" w14:paraId="66BB2E9A" w14:textId="77777777" w:rsidTr="00A26EAC">
      <w:trPr>
        <w:trHeight w:val="227"/>
        <w:jc w:val="center"/>
      </w:trPr>
      <w:tc>
        <w:tcPr>
          <w:tcW w:w="2552" w:type="dxa"/>
          <w:vMerge w:val="restart"/>
          <w:vAlign w:val="center"/>
        </w:tcPr>
        <w:p w14:paraId="7043C5C4" w14:textId="77777777" w:rsidR="00A26EAC" w:rsidRPr="0011717D" w:rsidRDefault="00A26EAC" w:rsidP="00A26EAC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  <w:r w:rsidRPr="0011717D">
            <w:rPr>
              <w:rFonts w:cstheme="minorHAnsi"/>
              <w:noProof/>
            </w:rPr>
            <w:drawing>
              <wp:inline distT="0" distB="0" distL="0" distR="0" wp14:anchorId="271BAFCD" wp14:editId="6C340491">
                <wp:extent cx="1195280" cy="561975"/>
                <wp:effectExtent l="0" t="0" r="5080" b="0"/>
                <wp:docPr id="10387670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518" cy="57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306E910" w14:textId="02593990" w:rsidR="00A26EAC" w:rsidRPr="00A26EAC" w:rsidRDefault="00A26EAC" w:rsidP="00A26EAC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  <w:bCs/>
            </w:rPr>
          </w:pPr>
          <w:r w:rsidRPr="00A26EAC">
            <w:rPr>
              <w:b/>
              <w:bCs/>
            </w:rPr>
            <w:t>ÜST YÖNETIM TARAFSIZLIK TAAHHÜDÜ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B27F296" w14:textId="77777777" w:rsidR="00A26EAC" w:rsidRPr="0011717D" w:rsidRDefault="00A26EAC" w:rsidP="00A26EAC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  <w:bCs/>
            </w:rPr>
            <w:t>Doküman</w:t>
          </w:r>
          <w:proofErr w:type="spellEnd"/>
          <w:r w:rsidRPr="0011717D">
            <w:rPr>
              <w:rFonts w:cstheme="minorHAnsi"/>
              <w:bCs/>
            </w:rPr>
            <w:t xml:space="preserve"> Kodu</w:t>
          </w:r>
        </w:p>
      </w:tc>
      <w:tc>
        <w:tcPr>
          <w:tcW w:w="113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692545B" w14:textId="68AE6C1D" w:rsidR="00A26EAC" w:rsidRPr="00A26EAC" w:rsidRDefault="00A26EAC" w:rsidP="00A26EAC">
          <w:pPr>
            <w:ind w:left="-76"/>
            <w:rPr>
              <w:rFonts w:eastAsiaTheme="minorHAnsi" w:cstheme="minorHAnsi"/>
              <w:bCs/>
            </w:rPr>
          </w:pPr>
          <w:r>
            <w:rPr>
              <w:rFonts w:cstheme="minorHAnsi"/>
              <w:bCs/>
            </w:rPr>
            <w:t>F.00.02</w:t>
          </w:r>
        </w:p>
      </w:tc>
    </w:tr>
    <w:tr w:rsidR="00A26EAC" w:rsidRPr="0011717D" w14:paraId="59C7D61A" w14:textId="77777777" w:rsidTr="00A26EAC">
      <w:trPr>
        <w:trHeight w:val="227"/>
        <w:jc w:val="center"/>
      </w:trPr>
      <w:tc>
        <w:tcPr>
          <w:tcW w:w="2552" w:type="dxa"/>
          <w:vMerge/>
          <w:vAlign w:val="center"/>
        </w:tcPr>
        <w:p w14:paraId="35F7BA6A" w14:textId="77777777" w:rsidR="00A26EAC" w:rsidRPr="0011717D" w:rsidRDefault="00A26EAC" w:rsidP="00A26EAC">
          <w:pPr>
            <w:pStyle w:val="stBilgi0"/>
            <w:tabs>
              <w:tab w:val="left" w:pos="3400"/>
            </w:tabs>
            <w:jc w:val="center"/>
            <w:rPr>
              <w:rFonts w:cstheme="minorHAnsi"/>
              <w:noProof/>
            </w:rPr>
          </w:pPr>
        </w:p>
      </w:tc>
      <w:tc>
        <w:tcPr>
          <w:tcW w:w="5386" w:type="dxa"/>
          <w:vMerge/>
          <w:vAlign w:val="center"/>
        </w:tcPr>
        <w:p w14:paraId="7BB740A2" w14:textId="77777777" w:rsidR="00A26EAC" w:rsidRPr="0011717D" w:rsidRDefault="00A26EAC" w:rsidP="00A26EAC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03775AC" w14:textId="77777777" w:rsidR="00A26EAC" w:rsidRPr="0011717D" w:rsidRDefault="00A26EAC" w:rsidP="00A26EAC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</w:rPr>
            <w:t>Yayın</w:t>
          </w:r>
          <w:proofErr w:type="spellEnd"/>
          <w:r w:rsidRPr="0011717D">
            <w:rPr>
              <w:rFonts w:cstheme="minorHAnsi"/>
            </w:rPr>
            <w:t xml:space="preserve">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AAA13D7" w14:textId="77777777" w:rsidR="00A26EAC" w:rsidRPr="0011717D" w:rsidRDefault="00A26EAC" w:rsidP="00A26EAC">
          <w:pPr>
            <w:ind w:left="-76"/>
            <w:rPr>
              <w:rFonts w:cstheme="minorHAnsi"/>
              <w:i/>
              <w:iCs/>
            </w:rPr>
          </w:pPr>
          <w:r w:rsidRPr="0011717D">
            <w:rPr>
              <w:rFonts w:cstheme="minorHAnsi"/>
              <w:i/>
              <w:iCs/>
            </w:rPr>
            <w:t>01.06.2024</w:t>
          </w:r>
        </w:p>
      </w:tc>
    </w:tr>
    <w:tr w:rsidR="00A26EAC" w:rsidRPr="0011717D" w14:paraId="7B0B9D8C" w14:textId="77777777" w:rsidTr="00A26EAC">
      <w:trPr>
        <w:trHeight w:val="227"/>
        <w:jc w:val="center"/>
      </w:trPr>
      <w:tc>
        <w:tcPr>
          <w:tcW w:w="2552" w:type="dxa"/>
          <w:vMerge/>
        </w:tcPr>
        <w:p w14:paraId="626D89B8" w14:textId="77777777" w:rsidR="00A26EAC" w:rsidRPr="0011717D" w:rsidRDefault="00A26EAC" w:rsidP="00A26EAC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  <w:vAlign w:val="center"/>
        </w:tcPr>
        <w:p w14:paraId="1F4955BA" w14:textId="77777777" w:rsidR="00A26EAC" w:rsidRPr="0011717D" w:rsidRDefault="00A26EAC" w:rsidP="00A26EAC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6A7A0A" w14:textId="77777777" w:rsidR="00A26EAC" w:rsidRPr="0011717D" w:rsidRDefault="00A26EAC" w:rsidP="00A26EAC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</w:rPr>
            <w:t xml:space="preserve">Rev. No: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ED8B7B0" w14:textId="1006EEBE" w:rsidR="00A26EAC" w:rsidRPr="0011717D" w:rsidRDefault="00A26EAC" w:rsidP="00A26EAC">
          <w:pPr>
            <w:pStyle w:val="stBilgi0"/>
            <w:tabs>
              <w:tab w:val="left" w:pos="3400"/>
            </w:tabs>
            <w:ind w:left="-76"/>
            <w:rPr>
              <w:rFonts w:cstheme="minorHAnsi"/>
              <w:bCs/>
              <w:i/>
              <w:iCs/>
            </w:rPr>
          </w:pPr>
          <w:r w:rsidRPr="0011717D">
            <w:rPr>
              <w:rFonts w:cstheme="minorHAnsi"/>
              <w:bCs/>
              <w:i/>
              <w:iCs/>
            </w:rPr>
            <w:t>0</w:t>
          </w:r>
          <w:r w:rsidR="006D55C8">
            <w:rPr>
              <w:rFonts w:cstheme="minorHAnsi"/>
              <w:bCs/>
              <w:i/>
              <w:iCs/>
            </w:rPr>
            <w:t>1</w:t>
          </w:r>
        </w:p>
      </w:tc>
    </w:tr>
    <w:tr w:rsidR="00A26EAC" w:rsidRPr="0011717D" w14:paraId="1A61703E" w14:textId="77777777" w:rsidTr="00A26EAC">
      <w:trPr>
        <w:trHeight w:val="227"/>
        <w:jc w:val="center"/>
      </w:trPr>
      <w:tc>
        <w:tcPr>
          <w:tcW w:w="2552" w:type="dxa"/>
          <w:vMerge/>
        </w:tcPr>
        <w:p w14:paraId="07A7F00F" w14:textId="77777777" w:rsidR="00A26EAC" w:rsidRPr="0011717D" w:rsidRDefault="00A26EAC" w:rsidP="00A26EAC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</w:tcPr>
        <w:p w14:paraId="50B12E03" w14:textId="77777777" w:rsidR="00A26EAC" w:rsidRPr="0011717D" w:rsidRDefault="00A26EAC" w:rsidP="00A26EAC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83F1CA1" w14:textId="77777777" w:rsidR="00A26EAC" w:rsidRPr="0011717D" w:rsidRDefault="00A26EAC" w:rsidP="00A26EAC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  <w:bCs/>
            </w:rPr>
            <w:t xml:space="preserve">Rev. </w:t>
          </w:r>
          <w:proofErr w:type="spellStart"/>
          <w:r w:rsidRPr="0011717D">
            <w:rPr>
              <w:rFonts w:cstheme="minorHAnsi"/>
              <w:bCs/>
            </w:rPr>
            <w:t>Tarihi</w:t>
          </w:r>
          <w:proofErr w:type="spellEnd"/>
          <w:r w:rsidRPr="0011717D">
            <w:rPr>
              <w:rFonts w:cstheme="minorHAnsi"/>
              <w:bCs/>
            </w:rPr>
            <w:t>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83A29C6" w14:textId="5F52B4C5" w:rsidR="00A26EAC" w:rsidRPr="0011717D" w:rsidRDefault="00EB1912" w:rsidP="00A26EAC">
          <w:pPr>
            <w:pStyle w:val="stBilgi0"/>
            <w:tabs>
              <w:tab w:val="left" w:pos="3400"/>
            </w:tabs>
            <w:ind w:left="-76"/>
            <w:rPr>
              <w:rFonts w:cstheme="minorHAnsi"/>
              <w:i/>
              <w:iCs/>
            </w:rPr>
          </w:pPr>
          <w:r>
            <w:rPr>
              <w:rFonts w:cstheme="minorHAnsi"/>
              <w:i/>
              <w:iCs/>
            </w:rPr>
            <w:t>26</w:t>
          </w:r>
          <w:r w:rsidR="006D55C8">
            <w:rPr>
              <w:rFonts w:cstheme="minorHAnsi"/>
              <w:i/>
              <w:iCs/>
            </w:rPr>
            <w:t>.05.2025</w:t>
          </w:r>
        </w:p>
      </w:tc>
    </w:tr>
  </w:tbl>
  <w:p w14:paraId="31379DAB" w14:textId="77777777" w:rsidR="00DC3C61" w:rsidRDefault="00DC3C6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F45"/>
    <w:multiLevelType w:val="hybridMultilevel"/>
    <w:tmpl w:val="90A0A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B"/>
    <w:rsid w:val="00194B1E"/>
    <w:rsid w:val="004A39BF"/>
    <w:rsid w:val="00533B2B"/>
    <w:rsid w:val="005C6F0E"/>
    <w:rsid w:val="00633374"/>
    <w:rsid w:val="006458EC"/>
    <w:rsid w:val="006D55C8"/>
    <w:rsid w:val="00703A65"/>
    <w:rsid w:val="00713D2E"/>
    <w:rsid w:val="007F3780"/>
    <w:rsid w:val="00855202"/>
    <w:rsid w:val="00A26EAC"/>
    <w:rsid w:val="00BF6ECC"/>
    <w:rsid w:val="00C543FE"/>
    <w:rsid w:val="00C85F31"/>
    <w:rsid w:val="00D7743D"/>
    <w:rsid w:val="00DC3C61"/>
    <w:rsid w:val="00E35194"/>
    <w:rsid w:val="00EB1912"/>
    <w:rsid w:val="00E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5105"/>
  <w15:chartTrackingRefBased/>
  <w15:docId w15:val="{6D18A0F1-112F-4EF7-9CCC-48F75E73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61"/>
    <w:rPr>
      <w:rFonts w:eastAsiaTheme="minorEastAsia"/>
      <w:kern w:val="0"/>
      <w:lang w:bidi="he-IL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DC3C6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3C61"/>
  </w:style>
  <w:style w:type="paragraph" w:styleId="stBilgi0">
    <w:name w:val="header"/>
    <w:basedOn w:val="Normal"/>
    <w:link w:val="stBilgiChar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DC3C61"/>
    <w:rPr>
      <w:rFonts w:eastAsiaTheme="minorEastAsia"/>
      <w:kern w:val="0"/>
      <w:lang w:bidi="he-IL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C61"/>
    <w:rPr>
      <w:rFonts w:eastAsiaTheme="minorEastAsia"/>
      <w:kern w:val="0"/>
      <w:lang w:bidi="he-IL"/>
      <w14:ligatures w14:val="none"/>
    </w:rPr>
  </w:style>
  <w:style w:type="table" w:styleId="TabloKlavuzu">
    <w:name w:val="Table Grid"/>
    <w:basedOn w:val="NormalTablo"/>
    <w:uiPriority w:val="59"/>
    <w:rsid w:val="00DC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-Vurgu5">
    <w:name w:val="Grid Table 3 Accent 5"/>
    <w:basedOn w:val="NormalTablo"/>
    <w:uiPriority w:val="48"/>
    <w:rsid w:val="00DC3C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DC3C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194B1E"/>
    <w:pPr>
      <w:ind w:left="720"/>
      <w:contextualSpacing/>
    </w:pPr>
    <w:rPr>
      <w:rFonts w:eastAsiaTheme="minorHAns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Veyisoğlu</dc:creator>
  <cp:keywords/>
  <dc:description/>
  <cp:lastModifiedBy>Alper Veyisoğlu</cp:lastModifiedBy>
  <cp:revision>4</cp:revision>
  <cp:lastPrinted>2025-05-26T15:16:00Z</cp:lastPrinted>
  <dcterms:created xsi:type="dcterms:W3CDTF">2025-05-26T15:04:00Z</dcterms:created>
  <dcterms:modified xsi:type="dcterms:W3CDTF">2025-05-26T15:16:00Z</dcterms:modified>
</cp:coreProperties>
</file>